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F8" w:rsidRDefault="009968F8" w:rsidP="009968F8">
      <w:pPr>
        <w:jc w:val="center"/>
        <w:rPr>
          <w:rFonts w:ascii="Perpetua Titling MT" w:hAnsi="Perpetua Titling MT"/>
          <w:b/>
          <w:color w:val="3366FF"/>
          <w:spacing w:val="120"/>
          <w:sz w:val="52"/>
          <w:szCs w:val="52"/>
          <w:lang w:val="en-NZ"/>
        </w:rPr>
      </w:pPr>
      <w:r w:rsidRPr="009968F8">
        <w:rPr>
          <w:noProof/>
          <w:color w:val="3366FF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FAB6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" strokecolor="#333" strokeweight="1pt"/>
            </w:pict>
          </mc:Fallback>
        </mc:AlternateContent>
      </w:r>
      <w:r w:rsidRPr="009968F8">
        <w:rPr>
          <w:rFonts w:ascii="Perpetua Titling MT" w:hAnsi="Perpetua Titling MT"/>
          <w:b/>
          <w:color w:val="3366FF"/>
          <w:spacing w:val="120"/>
          <w:sz w:val="52"/>
          <w:szCs w:val="52"/>
        </w:rPr>
        <w:t>PRINCIPALS’</w:t>
      </w:r>
      <w:r>
        <w:rPr>
          <w:rFonts w:ascii="Perpetua Titling MT" w:hAnsi="Perpetua Titling MT"/>
          <w:b/>
          <w:color w:val="3366FF"/>
          <w:spacing w:val="120"/>
          <w:sz w:val="52"/>
          <w:szCs w:val="52"/>
        </w:rPr>
        <w:t xml:space="preserve"> DIGESTS</w:t>
      </w:r>
    </w:p>
    <w:p w:rsidR="009968F8" w:rsidRDefault="009968F8" w:rsidP="009968F8">
      <w:pPr>
        <w:jc w:val="center"/>
        <w:rPr>
          <w:rFonts w:ascii="Futura Lt BT" w:hAnsi="Futura Lt BT"/>
          <w:color w:val="3366FF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Futura Lt BT" w:hAnsi="Futura Lt BT"/>
              <w:color w:val="3366FF"/>
              <w:sz w:val="18"/>
              <w:szCs w:val="18"/>
            </w:rPr>
            <w:t>30 Palliser Drive</w:t>
          </w:r>
        </w:smartTag>
      </w:smartTag>
      <w:r>
        <w:rPr>
          <w:rFonts w:ascii="Futura Lt BT" w:hAnsi="Futura Lt BT"/>
          <w:color w:val="3366FF"/>
          <w:sz w:val="18"/>
          <w:szCs w:val="18"/>
        </w:rPr>
        <w:t xml:space="preserve"> •</w:t>
      </w:r>
      <w:smartTag w:uri="urn:schemas-microsoft-com:office:smarttags" w:element="place">
        <w:smartTag w:uri="urn:schemas-microsoft-com:office:smarttags" w:element="City">
          <w:r>
            <w:rPr>
              <w:rFonts w:ascii="Futura Lt BT" w:hAnsi="Futura Lt BT"/>
              <w:color w:val="3366FF"/>
              <w:sz w:val="18"/>
              <w:szCs w:val="18"/>
            </w:rPr>
            <w:t>Hamilton</w:t>
          </w:r>
        </w:smartTag>
      </w:smartTag>
      <w:r>
        <w:rPr>
          <w:rFonts w:ascii="Futura Lt BT" w:hAnsi="Futura Lt BT"/>
          <w:color w:val="3366FF"/>
          <w:sz w:val="18"/>
          <w:szCs w:val="18"/>
        </w:rPr>
        <w:t xml:space="preserve">• NZ 3210• Tel 07 855 7101 </w:t>
      </w:r>
    </w:p>
    <w:p w:rsidR="009968F8" w:rsidRDefault="009968F8" w:rsidP="009968F8">
      <w:pPr>
        <w:jc w:val="center"/>
        <w:rPr>
          <w:rFonts w:ascii="Futura Lt BT" w:hAnsi="Futura Lt BT"/>
          <w:color w:val="3366FF"/>
          <w:sz w:val="18"/>
          <w:szCs w:val="18"/>
        </w:rPr>
      </w:pPr>
      <w:r>
        <w:rPr>
          <w:rFonts w:ascii="Futura Lt BT" w:hAnsi="Futura Lt BT"/>
          <w:color w:val="3366FF"/>
          <w:sz w:val="18"/>
          <w:szCs w:val="18"/>
        </w:rPr>
        <w:t>digests@xtra.co.nz</w:t>
      </w:r>
      <w:r>
        <w:rPr>
          <w:rFonts w:ascii="Futura Lt BT" w:hAnsi="Futura Lt BT"/>
          <w:color w:val="3366FF"/>
          <w:sz w:val="18"/>
          <w:szCs w:val="18"/>
        </w:rPr>
        <w:sym w:font="Wingdings" w:char="F09F"/>
      </w:r>
      <w:r>
        <w:rPr>
          <w:rFonts w:ascii="Futura Lt BT" w:hAnsi="Futura Lt BT"/>
          <w:color w:val="3366FF"/>
          <w:sz w:val="18"/>
          <w:szCs w:val="18"/>
        </w:rPr>
        <w:t xml:space="preserve">www.principalsdigests.co.nz </w:t>
      </w:r>
    </w:p>
    <w:p w:rsidR="009968F8" w:rsidRDefault="009968F8" w:rsidP="009968F8">
      <w:pPr>
        <w:jc w:val="center"/>
        <w:rPr>
          <w:rFonts w:ascii="Futura Lt BT" w:hAnsi="Futura Lt BT"/>
          <w:color w:val="3366FF"/>
          <w:sz w:val="16"/>
          <w:szCs w:val="16"/>
        </w:rPr>
      </w:pPr>
      <w:smartTag w:uri="urn:schemas-microsoft-com:office:smarttags" w:element="PersonName">
        <w:r>
          <w:rPr>
            <w:rFonts w:ascii="Futura Lt BT" w:hAnsi="Futura Lt BT"/>
            <w:color w:val="3366FF"/>
            <w:sz w:val="16"/>
            <w:szCs w:val="16"/>
          </w:rPr>
          <w:t>Digests</w:t>
        </w:r>
      </w:smartTag>
      <w:r>
        <w:rPr>
          <w:rFonts w:ascii="Futura Lt BT" w:hAnsi="Futura Lt BT"/>
          <w:color w:val="3366FF"/>
          <w:sz w:val="16"/>
          <w:szCs w:val="16"/>
        </w:rPr>
        <w:t xml:space="preserve"> may be copied and distributed in the school community of the subscriber.</w:t>
      </w:r>
    </w:p>
    <w:p w:rsidR="009968F8" w:rsidRDefault="009968F8" w:rsidP="009968F8">
      <w:pPr>
        <w:jc w:val="center"/>
        <w:rPr>
          <w:rFonts w:ascii="Arial" w:hAnsi="Arial" w:cs="Arial"/>
          <w:color w:val="3366FF"/>
          <w:sz w:val="20"/>
          <w:szCs w:val="20"/>
        </w:rPr>
      </w:pPr>
      <w:r>
        <w:rPr>
          <w:rFonts w:ascii="Times New Roman" w:hAnsi="Times New Roman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4800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3AB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0" to="3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1A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"/>
            </w:pict>
          </mc:Fallback>
        </mc:AlternateContent>
      </w:r>
      <w:r>
        <w:rPr>
          <w:rFonts w:ascii="Futura Lt BT" w:hAnsi="Futura Lt BT"/>
          <w:b/>
          <w:color w:val="3366FF"/>
          <w:sz w:val="20"/>
          <w:szCs w:val="20"/>
        </w:rPr>
        <w:tab/>
      </w:r>
      <w:r>
        <w:rPr>
          <w:rFonts w:ascii="Arial" w:hAnsi="Arial" w:cs="Arial"/>
          <w:color w:val="3366FF"/>
          <w:sz w:val="20"/>
          <w:szCs w:val="20"/>
        </w:rPr>
        <w:t>Leadership</w:t>
      </w:r>
      <w:r>
        <w:rPr>
          <w:rFonts w:ascii="Arial" w:hAnsi="Arial" w:cs="Arial"/>
          <w:color w:val="3366FF"/>
          <w:sz w:val="20"/>
          <w:szCs w:val="20"/>
        </w:rPr>
        <w:tab/>
      </w:r>
      <w:r>
        <w:rPr>
          <w:rFonts w:ascii="Arial" w:hAnsi="Arial" w:cs="Arial"/>
          <w:color w:val="3366FF"/>
          <w:sz w:val="20"/>
          <w:szCs w:val="20"/>
        </w:rPr>
        <w:tab/>
        <w:t>Volume 22</w:t>
      </w:r>
      <w:r>
        <w:rPr>
          <w:rFonts w:ascii="Arial" w:hAnsi="Arial" w:cs="Arial"/>
          <w:color w:val="3366FF"/>
          <w:sz w:val="16"/>
          <w:szCs w:val="16"/>
        </w:rPr>
        <w:t xml:space="preserve"> </w:t>
      </w:r>
      <w:r>
        <w:rPr>
          <w:rFonts w:ascii="Arial" w:hAnsi="Arial" w:cs="Arial"/>
          <w:color w:val="3366FF"/>
          <w:sz w:val="20"/>
          <w:szCs w:val="20"/>
        </w:rPr>
        <w:t xml:space="preserve">Number </w:t>
      </w:r>
      <w:r w:rsidR="00CB7F0F">
        <w:rPr>
          <w:rFonts w:ascii="Arial" w:hAnsi="Arial" w:cs="Arial"/>
          <w:color w:val="3366FF"/>
          <w:sz w:val="20"/>
          <w:szCs w:val="20"/>
        </w:rPr>
        <w:t>37</w:t>
      </w:r>
    </w:p>
    <w:p w:rsidR="009968F8" w:rsidRDefault="009968F8" w:rsidP="009968F8">
      <w:pPr>
        <w:pStyle w:val="Heading1"/>
        <w:rPr>
          <w:rFonts w:ascii="Times" w:hAnsi="Times"/>
          <w:sz w:val="28"/>
          <w:szCs w:val="28"/>
        </w:rPr>
      </w:pPr>
    </w:p>
    <w:p w:rsidR="009968F8" w:rsidRPr="009968F8" w:rsidRDefault="009968F8" w:rsidP="009968F8">
      <w:pPr>
        <w:pStyle w:val="Heading1"/>
        <w:rPr>
          <w:rFonts w:ascii="Times" w:hAnsi="Times"/>
          <w:color w:val="3366FF"/>
          <w:sz w:val="36"/>
          <w:szCs w:val="36"/>
          <w:lang w:val="en-NZ"/>
        </w:rPr>
      </w:pPr>
      <w:r w:rsidRPr="009968F8">
        <w:rPr>
          <w:rFonts w:ascii="Arial" w:hAnsi="Arial" w:cs="Arial"/>
          <w:noProof/>
          <w:color w:val="0000FF"/>
          <w:sz w:val="36"/>
          <w:szCs w:val="36"/>
          <w:lang w:val="en-NZ" w:eastAsia="en-NZ"/>
        </w:rPr>
        <w:drawing>
          <wp:anchor distT="0" distB="0" distL="114300" distR="114300" simplePos="0" relativeHeight="251658752" behindDoc="1" locked="0" layoutInCell="1" allowOverlap="1" wp14:anchorId="685E19D6" wp14:editId="7D120CF1">
            <wp:simplePos x="0" y="0"/>
            <wp:positionH relativeFrom="column">
              <wp:posOffset>3916045</wp:posOffset>
            </wp:positionH>
            <wp:positionV relativeFrom="paragraph">
              <wp:posOffset>131445</wp:posOffset>
            </wp:positionV>
            <wp:extent cx="166306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278" y="21414"/>
                <wp:lineTo x="21278" y="0"/>
                <wp:lineTo x="0" y="0"/>
              </wp:wrapPolygon>
            </wp:wrapTight>
            <wp:docPr id="3" name="Picture 3" descr="Image result for ethical decision mak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thical decision mak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8F8">
        <w:rPr>
          <w:rFonts w:ascii="Times" w:hAnsi="Times"/>
          <w:color w:val="3366FF"/>
          <w:sz w:val="36"/>
          <w:szCs w:val="36"/>
          <w:lang w:val="en-NZ"/>
        </w:rPr>
        <w:t>CONSIDERATIONS WHEN MAKING ETHICAL DECISIONS</w:t>
      </w:r>
      <w:r w:rsidRPr="009968F8">
        <w:rPr>
          <w:rFonts w:ascii="Arial" w:hAnsi="Arial" w:cs="Arial"/>
          <w:noProof/>
          <w:color w:val="0000FF"/>
          <w:sz w:val="36"/>
          <w:szCs w:val="36"/>
          <w:lang w:val="en-NZ" w:eastAsia="en-NZ"/>
        </w:rPr>
        <w:t xml:space="preserve"> </w:t>
      </w:r>
    </w:p>
    <w:p w:rsidR="009968F8" w:rsidRPr="009968F8" w:rsidRDefault="009968F8" w:rsidP="009968F8">
      <w:pPr>
        <w:rPr>
          <w:b/>
          <w:lang w:val="en-NZ"/>
        </w:rPr>
      </w:pPr>
      <w:r w:rsidRPr="009968F8">
        <w:rPr>
          <w:b/>
          <w:lang w:val="en-NZ"/>
        </w:rPr>
        <w:t>Judgment is hard to define. It is a fusion of your thinking, fe</w:t>
      </w:r>
      <w:r w:rsidR="002F7FF6">
        <w:rPr>
          <w:b/>
          <w:lang w:val="en-NZ"/>
        </w:rPr>
        <w:t>elings, experience, imagination</w:t>
      </w:r>
      <w:r w:rsidRPr="009968F8">
        <w:rPr>
          <w:b/>
          <w:lang w:val="en-NZ"/>
        </w:rPr>
        <w:t xml:space="preserve"> and character. Good judgment is crucial when leaders are called upon to make decisions in situations where information is incomp</w:t>
      </w:r>
      <w:r w:rsidR="002F7FF6">
        <w:rPr>
          <w:b/>
          <w:lang w:val="en-NZ"/>
        </w:rPr>
        <w:t>lete, boundaries are unclear</w:t>
      </w:r>
      <w:r w:rsidRPr="009968F8">
        <w:rPr>
          <w:b/>
          <w:lang w:val="en-NZ"/>
        </w:rPr>
        <w:t xml:space="preserve"> and colleagues disagree. In grey areas, your job isn’t </w:t>
      </w:r>
      <w:r w:rsidRPr="009968F8">
        <w:rPr>
          <w:b/>
          <w:i/>
          <w:lang w:val="en-NZ"/>
        </w:rPr>
        <w:t>finding</w:t>
      </w:r>
      <w:r w:rsidRPr="009968F8">
        <w:rPr>
          <w:b/>
          <w:lang w:val="en-NZ"/>
        </w:rPr>
        <w:t xml:space="preserve"> solutions, it’s </w:t>
      </w:r>
      <w:r w:rsidRPr="009968F8">
        <w:rPr>
          <w:b/>
          <w:i/>
          <w:lang w:val="en-NZ"/>
        </w:rPr>
        <w:t>creating</w:t>
      </w:r>
      <w:r w:rsidRPr="009968F8">
        <w:rPr>
          <w:b/>
          <w:lang w:val="en-NZ"/>
        </w:rPr>
        <w:t xml:space="preserve"> them, relying on your judgment. </w:t>
      </w:r>
    </w:p>
    <w:p w:rsidR="009968F8" w:rsidRDefault="009968F8" w:rsidP="009968F8">
      <w:pPr>
        <w:rPr>
          <w:lang w:val="en-NZ"/>
        </w:rPr>
      </w:pPr>
    </w:p>
    <w:p w:rsidR="009968F8" w:rsidRDefault="009968F8" w:rsidP="009968F8">
      <w:pPr>
        <w:rPr>
          <w:b/>
          <w:color w:val="3366FF"/>
          <w:sz w:val="28"/>
          <w:szCs w:val="28"/>
          <w:lang w:val="en-NZ"/>
        </w:rPr>
        <w:sectPr w:rsidR="009968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68F8" w:rsidRPr="009968F8" w:rsidRDefault="009968F8" w:rsidP="009968F8">
      <w:pPr>
        <w:rPr>
          <w:b/>
          <w:color w:val="3366FF"/>
          <w:sz w:val="28"/>
          <w:szCs w:val="28"/>
          <w:lang w:val="en-NZ"/>
        </w:rPr>
      </w:pPr>
      <w:r w:rsidRPr="009968F8">
        <w:rPr>
          <w:b/>
          <w:color w:val="3366FF"/>
          <w:sz w:val="28"/>
          <w:szCs w:val="28"/>
          <w:lang w:val="en-NZ"/>
        </w:rPr>
        <w:t>KEY QUESTIONS</w:t>
      </w:r>
    </w:p>
    <w:p w:rsidR="009968F8" w:rsidRPr="009968F8" w:rsidRDefault="009968F8" w:rsidP="009968F8">
      <w:pPr>
        <w:rPr>
          <w:color w:val="3366FF"/>
          <w:lang w:val="en-NZ"/>
        </w:rPr>
      </w:pPr>
      <w:r w:rsidRPr="009968F8">
        <w:rPr>
          <w:b/>
          <w:color w:val="3366FF"/>
          <w:sz w:val="28"/>
          <w:szCs w:val="28"/>
          <w:lang w:val="en-NZ"/>
        </w:rPr>
        <w:t>What are the net consequences of all your options?</w:t>
      </w:r>
      <w:r w:rsidRPr="009968F8">
        <w:rPr>
          <w:color w:val="3366FF"/>
          <w:lang w:val="en-NZ"/>
        </w:rPr>
        <w:t xml:space="preserve"> </w:t>
      </w:r>
    </w:p>
    <w:p w:rsidR="009968F8" w:rsidRPr="009968F8" w:rsidRDefault="009968F8" w:rsidP="009968F8">
      <w:pPr>
        <w:rPr>
          <w:lang w:val="en-NZ"/>
        </w:rPr>
      </w:pPr>
      <w:r w:rsidRPr="009968F8">
        <w:rPr>
          <w:b/>
          <w:lang w:val="en-NZ"/>
        </w:rPr>
        <w:t>This is not just about a cost-benefit analysis nor is it going with your gut.</w:t>
      </w:r>
      <w:r>
        <w:rPr>
          <w:lang w:val="en-NZ"/>
        </w:rPr>
        <w:t xml:space="preserve"> Truly difficult problems </w:t>
      </w:r>
      <w:r w:rsidRPr="009968F8">
        <w:rPr>
          <w:lang w:val="en-NZ"/>
        </w:rPr>
        <w:t>require you to think more broadly, de</w:t>
      </w:r>
      <w:r>
        <w:rPr>
          <w:lang w:val="en-NZ"/>
        </w:rPr>
        <w:t>eply, concretely, imaginatively</w:t>
      </w:r>
      <w:r w:rsidRPr="009968F8">
        <w:rPr>
          <w:lang w:val="en-NZ"/>
        </w:rPr>
        <w:t xml:space="preserve"> and objectively about the full impact of your choices</w:t>
      </w:r>
      <w:r>
        <w:rPr>
          <w:lang w:val="en-NZ"/>
        </w:rPr>
        <w:t xml:space="preserve">. </w:t>
      </w:r>
      <w:r w:rsidRPr="009968F8">
        <w:rPr>
          <w:lang w:val="en-NZ"/>
        </w:rPr>
        <w:t xml:space="preserve">You </w:t>
      </w:r>
      <w:r>
        <w:rPr>
          <w:lang w:val="en-NZ"/>
        </w:rPr>
        <w:t>list</w:t>
      </w:r>
      <w:r w:rsidRPr="009968F8">
        <w:rPr>
          <w:lang w:val="en-NZ"/>
        </w:rPr>
        <w:t xml:space="preserve"> all potential moves and all probable outcomes, or designate certain people to act as devil’s advocates to find holes in your thinking and prevent you from rushing to conclusio</w:t>
      </w:r>
      <w:r>
        <w:rPr>
          <w:lang w:val="en-NZ"/>
        </w:rPr>
        <w:t>ns or succumbing to groupthink.</w:t>
      </w:r>
      <w:r w:rsidRPr="009968F8">
        <w:rPr>
          <w:lang w:val="en-NZ"/>
        </w:rPr>
        <w:t xml:space="preserve"> </w:t>
      </w:r>
    </w:p>
    <w:p w:rsidR="009968F8" w:rsidRPr="009968F8" w:rsidRDefault="009968F8" w:rsidP="009968F8">
      <w:pPr>
        <w:rPr>
          <w:lang w:val="en-NZ"/>
        </w:rPr>
      </w:pPr>
      <w:r w:rsidRPr="009968F8">
        <w:rPr>
          <w:b/>
          <w:color w:val="3366FF"/>
          <w:sz w:val="28"/>
          <w:szCs w:val="28"/>
          <w:lang w:val="en-NZ"/>
        </w:rPr>
        <w:t>What are your core obligations?</w:t>
      </w:r>
      <w:r w:rsidRPr="009968F8">
        <w:rPr>
          <w:color w:val="3366FF"/>
          <w:lang w:val="en-NZ"/>
        </w:rPr>
        <w:t xml:space="preserve"> </w:t>
      </w:r>
      <w:r w:rsidRPr="009968F8">
        <w:rPr>
          <w:b/>
          <w:lang w:val="en-NZ"/>
        </w:rPr>
        <w:t>These are your duties to safeguard and respect the lives, ri</w:t>
      </w:r>
      <w:r w:rsidR="002F7FF6">
        <w:rPr>
          <w:b/>
          <w:lang w:val="en-NZ"/>
        </w:rPr>
        <w:t>ghts</w:t>
      </w:r>
      <w:r w:rsidRPr="009968F8">
        <w:rPr>
          <w:b/>
          <w:lang w:val="en-NZ"/>
        </w:rPr>
        <w:t xml:space="preserve"> and dignity of our fellow men and women – and children.</w:t>
      </w:r>
      <w:r>
        <w:rPr>
          <w:lang w:val="en-NZ"/>
        </w:rPr>
        <w:t xml:space="preserve"> You do this </w:t>
      </w:r>
      <w:r w:rsidRPr="009968F8">
        <w:rPr>
          <w:lang w:val="en-NZ"/>
        </w:rPr>
        <w:t>by relying on what philosophers call your ‘moral imagination.’ That involves stepping ou</w:t>
      </w:r>
      <w:r>
        <w:rPr>
          <w:lang w:val="en-NZ"/>
        </w:rPr>
        <w:t>t of your comfort zone, recognis</w:t>
      </w:r>
      <w:r w:rsidRPr="009968F8">
        <w:rPr>
          <w:lang w:val="en-NZ"/>
        </w:rPr>
        <w:t>ing your biases and blind spots, and putting yourself in the shoes of all key stakeholders, especially the most vulnerable ones. How would you feel in their place?”</w:t>
      </w:r>
    </w:p>
    <w:p w:rsidR="009968F8" w:rsidRPr="009968F8" w:rsidRDefault="009968F8" w:rsidP="009968F8">
      <w:pPr>
        <w:rPr>
          <w:color w:val="3366FF"/>
          <w:sz w:val="28"/>
          <w:szCs w:val="28"/>
          <w:lang w:val="en-NZ"/>
        </w:rPr>
      </w:pPr>
      <w:r w:rsidRPr="009968F8">
        <w:rPr>
          <w:b/>
          <w:color w:val="3366FF"/>
          <w:sz w:val="28"/>
          <w:szCs w:val="28"/>
          <w:lang w:val="en-NZ"/>
        </w:rPr>
        <w:t>What will work in the world as it is?</w:t>
      </w:r>
      <w:r w:rsidRPr="009968F8">
        <w:rPr>
          <w:color w:val="3366FF"/>
          <w:sz w:val="28"/>
          <w:szCs w:val="28"/>
          <w:lang w:val="en-NZ"/>
        </w:rPr>
        <w:t xml:space="preserve"> </w:t>
      </w:r>
    </w:p>
    <w:p w:rsidR="009968F8" w:rsidRPr="009968F8" w:rsidRDefault="009968F8" w:rsidP="009968F8">
      <w:pPr>
        <w:rPr>
          <w:lang w:val="en-NZ"/>
        </w:rPr>
      </w:pPr>
      <w:r w:rsidRPr="009968F8">
        <w:rPr>
          <w:b/>
          <w:lang w:val="en-NZ"/>
        </w:rPr>
        <w:t>The world is often unpredictable, difficult, and shaped by self-interest.</w:t>
      </w:r>
      <w:r>
        <w:rPr>
          <w:lang w:val="en-NZ"/>
        </w:rPr>
        <w:t xml:space="preserve"> </w:t>
      </w:r>
      <w:r w:rsidRPr="009968F8">
        <w:rPr>
          <w:lang w:val="en-NZ"/>
        </w:rPr>
        <w:t>Sound plans can turn out badly</w:t>
      </w:r>
      <w:r>
        <w:rPr>
          <w:lang w:val="en-NZ"/>
        </w:rPr>
        <w:t xml:space="preserve">, and bad plans sometimes work. You </w:t>
      </w:r>
      <w:r w:rsidRPr="009968F8">
        <w:rPr>
          <w:lang w:val="en-NZ"/>
        </w:rPr>
        <w:t>must also ready yourself to be</w:t>
      </w:r>
      <w:r>
        <w:rPr>
          <w:lang w:val="en-NZ"/>
        </w:rPr>
        <w:t xml:space="preserve"> agile and even opportunistic, </w:t>
      </w:r>
      <w:r w:rsidRPr="009968F8">
        <w:rPr>
          <w:lang w:val="en-NZ"/>
        </w:rPr>
        <w:t>manoeuvring aro</w:t>
      </w:r>
      <w:r>
        <w:rPr>
          <w:lang w:val="en-NZ"/>
        </w:rPr>
        <w:t xml:space="preserve">und any roadblocks or surprises, </w:t>
      </w:r>
      <w:r w:rsidRPr="009968F8">
        <w:rPr>
          <w:lang w:val="en-NZ"/>
        </w:rPr>
        <w:t xml:space="preserve">and, </w:t>
      </w:r>
      <w:r w:rsidRPr="009968F8">
        <w:rPr>
          <w:lang w:val="en-NZ"/>
        </w:rPr>
        <w:t>when the situation calls for it, to play hardball, asserting your authority and re</w:t>
      </w:r>
      <w:r>
        <w:rPr>
          <w:lang w:val="en-NZ"/>
        </w:rPr>
        <w:t>minding others who is the boss.</w:t>
      </w:r>
      <w:r w:rsidRPr="009968F8">
        <w:rPr>
          <w:lang w:val="en-NZ"/>
        </w:rPr>
        <w:t xml:space="preserve"> </w:t>
      </w:r>
    </w:p>
    <w:p w:rsidR="009968F8" w:rsidRPr="009968F8" w:rsidRDefault="009968F8" w:rsidP="009968F8">
      <w:pPr>
        <w:rPr>
          <w:color w:val="3366FF"/>
          <w:sz w:val="28"/>
          <w:szCs w:val="28"/>
          <w:lang w:val="en-NZ"/>
        </w:rPr>
      </w:pPr>
      <w:r w:rsidRPr="009968F8">
        <w:rPr>
          <w:b/>
          <w:color w:val="3366FF"/>
          <w:sz w:val="28"/>
          <w:szCs w:val="28"/>
          <w:lang w:val="en-NZ"/>
        </w:rPr>
        <w:t>Who are we?</w:t>
      </w:r>
      <w:r w:rsidRPr="009968F8">
        <w:rPr>
          <w:color w:val="3366FF"/>
          <w:sz w:val="28"/>
          <w:szCs w:val="28"/>
          <w:lang w:val="en-NZ"/>
        </w:rPr>
        <w:t xml:space="preserve"> </w:t>
      </w:r>
    </w:p>
    <w:p w:rsidR="009968F8" w:rsidRPr="009968F8" w:rsidRDefault="009968F8" w:rsidP="009968F8">
      <w:pPr>
        <w:rPr>
          <w:lang w:val="en-NZ"/>
        </w:rPr>
      </w:pPr>
      <w:r w:rsidRPr="009968F8">
        <w:rPr>
          <w:b/>
          <w:lang w:val="en-NZ"/>
        </w:rPr>
        <w:t>Humans are by nature social animals so you need to step back and think about your decision in</w:t>
      </w:r>
      <w:r w:rsidR="002F7FF6">
        <w:rPr>
          <w:b/>
          <w:lang w:val="en-NZ"/>
        </w:rPr>
        <w:t xml:space="preserve"> terms of relationships, values</w:t>
      </w:r>
      <w:r w:rsidRPr="009968F8">
        <w:rPr>
          <w:b/>
          <w:lang w:val="en-NZ"/>
        </w:rPr>
        <w:t xml:space="preserve"> and norms.</w:t>
      </w:r>
      <w:r w:rsidRPr="009968F8">
        <w:rPr>
          <w:lang w:val="en-NZ"/>
        </w:rPr>
        <w:t xml:space="preserve"> What really matters to </w:t>
      </w:r>
      <w:r>
        <w:rPr>
          <w:lang w:val="en-NZ"/>
        </w:rPr>
        <w:t xml:space="preserve">school </w:t>
      </w:r>
      <w:r w:rsidRPr="009968F8">
        <w:rPr>
          <w:lang w:val="en-NZ"/>
        </w:rPr>
        <w:t>and culture? How can you act in a way that reflects and expresses those belief systems? If they conflict</w:t>
      </w:r>
      <w:r>
        <w:rPr>
          <w:lang w:val="en-NZ"/>
        </w:rPr>
        <w:t>, which should take precedence?</w:t>
      </w:r>
      <w:r w:rsidRPr="009968F8">
        <w:rPr>
          <w:lang w:val="en-NZ"/>
        </w:rPr>
        <w:t xml:space="preserve"> </w:t>
      </w:r>
    </w:p>
    <w:p w:rsidR="009968F8" w:rsidRPr="009968F8" w:rsidRDefault="009968F8" w:rsidP="009968F8">
      <w:pPr>
        <w:rPr>
          <w:color w:val="3366FF"/>
          <w:sz w:val="28"/>
          <w:szCs w:val="28"/>
          <w:lang w:val="en-NZ"/>
        </w:rPr>
      </w:pPr>
      <w:r w:rsidRPr="009968F8">
        <w:rPr>
          <w:b/>
          <w:color w:val="3366FF"/>
          <w:sz w:val="28"/>
          <w:szCs w:val="28"/>
          <w:lang w:val="en-NZ"/>
        </w:rPr>
        <w:t>What can I live with?</w:t>
      </w:r>
      <w:r w:rsidRPr="009968F8">
        <w:rPr>
          <w:color w:val="3366FF"/>
          <w:sz w:val="28"/>
          <w:szCs w:val="28"/>
          <w:lang w:val="en-NZ"/>
        </w:rPr>
        <w:t xml:space="preserve"> </w:t>
      </w:r>
    </w:p>
    <w:p w:rsidR="009968F8" w:rsidRPr="009968F8" w:rsidRDefault="009968F8" w:rsidP="009968F8">
      <w:pPr>
        <w:rPr>
          <w:lang w:val="en-NZ"/>
        </w:rPr>
      </w:pPr>
      <w:r w:rsidRPr="009968F8">
        <w:rPr>
          <w:b/>
          <w:lang w:val="en-NZ"/>
        </w:rPr>
        <w:t>You cannot go ahead with something just because your brain told you it was the right thing to do.</w:t>
      </w:r>
      <w:r w:rsidRPr="009968F8">
        <w:rPr>
          <w:lang w:val="en-NZ"/>
        </w:rPr>
        <w:t xml:space="preserve"> </w:t>
      </w:r>
      <w:r>
        <w:rPr>
          <w:lang w:val="en-NZ"/>
        </w:rPr>
        <w:t>You have to get your</w:t>
      </w:r>
      <w:r w:rsidR="002F7FF6">
        <w:rPr>
          <w:lang w:val="en-NZ"/>
        </w:rPr>
        <w:t xml:space="preserve"> brain and </w:t>
      </w:r>
      <w:bookmarkStart w:id="0" w:name="_GoBack"/>
      <w:bookmarkEnd w:id="0"/>
      <w:r w:rsidRPr="009968F8">
        <w:rPr>
          <w:lang w:val="en-NZ"/>
        </w:rPr>
        <w:t>gut into harmony</w:t>
      </w:r>
      <w:r>
        <w:rPr>
          <w:lang w:val="en-NZ"/>
        </w:rPr>
        <w:t xml:space="preserve">. </w:t>
      </w:r>
      <w:r w:rsidRPr="009968F8">
        <w:rPr>
          <w:lang w:val="en-NZ"/>
        </w:rPr>
        <w:t>End your conversations with others, close the door, mute the electronics, and stop to reflect. Imagine yourself explaining your decision to a close friend or a mentor</w:t>
      </w:r>
      <w:r>
        <w:rPr>
          <w:lang w:val="en-NZ"/>
        </w:rPr>
        <w:t>,</w:t>
      </w:r>
      <w:r w:rsidRPr="009968F8">
        <w:rPr>
          <w:lang w:val="en-NZ"/>
        </w:rPr>
        <w:t xml:space="preserve"> someone you trust and respect deeply. Would you feel comfortable? How would that person react?” </w:t>
      </w:r>
      <w:r>
        <w:rPr>
          <w:lang w:val="en-NZ"/>
        </w:rPr>
        <w:t>P</w:t>
      </w:r>
      <w:r w:rsidRPr="009968F8">
        <w:rPr>
          <w:lang w:val="en-NZ"/>
        </w:rPr>
        <w:t>utting the decision and the rationale in writing</w:t>
      </w:r>
      <w:r>
        <w:rPr>
          <w:lang w:val="en-NZ"/>
        </w:rPr>
        <w:t xml:space="preserve"> also</w:t>
      </w:r>
      <w:r w:rsidRPr="009968F8">
        <w:rPr>
          <w:lang w:val="en-NZ"/>
        </w:rPr>
        <w:t xml:space="preserve"> forces clearer thinking and serves as</w:t>
      </w:r>
      <w:r>
        <w:rPr>
          <w:lang w:val="en-NZ"/>
        </w:rPr>
        <w:t xml:space="preserve"> a form of personal commitment.</w:t>
      </w:r>
    </w:p>
    <w:p w:rsidR="009968F8" w:rsidRPr="009968F8" w:rsidRDefault="009968F8" w:rsidP="009968F8">
      <w:pPr>
        <w:rPr>
          <w:lang w:val="en-NZ"/>
        </w:rPr>
      </w:pPr>
    </w:p>
    <w:p w:rsidR="004C17C7" w:rsidRPr="009968F8" w:rsidRDefault="009968F8" w:rsidP="009968F8">
      <w:pPr>
        <w:rPr>
          <w:rFonts w:ascii="Times New Roman" w:hAnsi="Times New Roman"/>
          <w:sz w:val="20"/>
          <w:szCs w:val="20"/>
          <w:lang w:val="en-NZ"/>
        </w:rPr>
      </w:pPr>
      <w:r w:rsidRPr="009968F8">
        <w:rPr>
          <w:sz w:val="20"/>
          <w:szCs w:val="20"/>
        </w:rPr>
        <w:t xml:space="preserve">Acknowledgement: </w:t>
      </w:r>
      <w:r w:rsidRPr="009968F8">
        <w:rPr>
          <w:sz w:val="20"/>
          <w:szCs w:val="20"/>
          <w:lang w:val="en-NZ"/>
        </w:rPr>
        <w:t xml:space="preserve">“How to Tackle Your Toughest Decisions” by Joseph </w:t>
      </w:r>
      <w:proofErr w:type="spellStart"/>
      <w:r w:rsidRPr="009968F8">
        <w:rPr>
          <w:sz w:val="20"/>
          <w:szCs w:val="20"/>
          <w:lang w:val="en-NZ"/>
        </w:rPr>
        <w:t>Badaracco</w:t>
      </w:r>
      <w:proofErr w:type="spellEnd"/>
      <w:r w:rsidRPr="009968F8">
        <w:rPr>
          <w:sz w:val="20"/>
          <w:szCs w:val="20"/>
          <w:lang w:val="en-NZ"/>
        </w:rPr>
        <w:t xml:space="preserve"> in </w:t>
      </w:r>
      <w:r w:rsidRPr="009968F8">
        <w:rPr>
          <w:i/>
          <w:sz w:val="20"/>
          <w:szCs w:val="20"/>
          <w:lang w:val="en-NZ"/>
        </w:rPr>
        <w:t>Harvard Business Review</w:t>
      </w:r>
      <w:r w:rsidRPr="009968F8">
        <w:rPr>
          <w:sz w:val="20"/>
          <w:szCs w:val="20"/>
          <w:lang w:val="en-NZ"/>
        </w:rPr>
        <w:t>, September 2016</w:t>
      </w:r>
    </w:p>
    <w:sectPr w:rsidR="004C17C7" w:rsidRPr="009968F8" w:rsidSect="009968F8">
      <w:type w:val="continuous"/>
      <w:pgSz w:w="11906" w:h="16838"/>
      <w:pgMar w:top="1440" w:right="1440" w:bottom="1440" w:left="144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308C8"/>
    <w:multiLevelType w:val="multilevel"/>
    <w:tmpl w:val="1409001D"/>
    <w:styleLink w:val="PDstyl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8"/>
    <w:rsid w:val="002F7FF6"/>
    <w:rsid w:val="004C17C7"/>
    <w:rsid w:val="005346EE"/>
    <w:rsid w:val="009968F8"/>
    <w:rsid w:val="00CB7F0F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DDE080-14C8-4BD6-959A-9A7082B7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F8"/>
    <w:pPr>
      <w:spacing w:after="0" w:line="240" w:lineRule="auto"/>
    </w:pPr>
    <w:rPr>
      <w:rFonts w:ascii="Times" w:eastAsia="Times New Roman" w:hAnsi="Time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8F8"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Dstyle">
    <w:name w:val="PD style"/>
    <w:uiPriority w:val="99"/>
    <w:rsid w:val="00F412F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9968F8"/>
    <w:rPr>
      <w:rFonts w:ascii="Palatino" w:eastAsia="Times New Roman" w:hAnsi="Palatino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nz/url?sa=i&amp;rct=j&amp;q=&amp;esrc=s&amp;source=images&amp;cd=&amp;cad=rja&amp;uact=8&amp;ved=0ahUKEwj1zp2M3eXOAhVLoJQKHZU0BL0QjRwIBw&amp;url=http://hubpages.com/education/Ethical-Decision-Making-Illustrated-with-Pope-and-Vasquezs-17-Step-Process&amp;psig=AFQjCNGK8NRfCIEhVmvo8eVPojS3JFRm4w&amp;ust=1472529248590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2016-09-05T01:50:00Z</dcterms:created>
  <dcterms:modified xsi:type="dcterms:W3CDTF">2016-09-05T01:50:00Z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426953721</vt:i4>
  </property>
  <property fmtid="{D5CDD505-2E9C-101B-9397-08002B2CF9AE}" pid="3" name="_NewReviewCycle">
    <vt:lpwstr/>
  </property>
  <property fmtid="{D5CDD505-2E9C-101B-9397-08002B2CF9AE}" pid="4" name="_EmailSubject">
    <vt:lpwstr>Principals Digests Vol 22 36-40</vt:lpwstr>
  </property>
  <property fmtid="{D5CDD505-2E9C-101B-9397-08002B2CF9AE}" pid="5" name="_AuthorEmail">
    <vt:lpwstr>digests@xtra.co.nz</vt:lpwstr>
  </property>
  <property fmtid="{D5CDD505-2E9C-101B-9397-08002B2CF9AE}" pid="6" name="_AuthorEmailDisplayName">
    <vt:lpwstr>digests</vt:lpwstr>
  </property>
</Properties>
</file>